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bookmarkStart w:colFirst="0" w:colLast="0" w:name="_gjdgxs" w:id="0"/>
      <w:bookmarkEnd w:id="0"/>
      <w:r w:rsidDel="00000000" w:rsidR="00000000" w:rsidRPr="00000000">
        <w:rPr>
          <w:rFonts w:ascii="Arial" w:cs="Arial" w:eastAsia="Arial" w:hAnsi="Arial"/>
          <w:b w:val="1"/>
          <w:sz w:val="22"/>
          <w:szCs w:val="22"/>
          <w:rtl w:val="0"/>
        </w:rPr>
        <w:t xml:space="preserve">Les surintendants et pasteurs soutiennent des familles à travers tout le processus du deuil. </w:t>
      </w:r>
    </w:p>
    <w:p w:rsidR="00000000" w:rsidDel="00000000" w:rsidP="00000000" w:rsidRDefault="00000000" w:rsidRPr="00000000" w14:paraId="00000002">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color w:val="000000"/>
          <w:sz w:val="20"/>
          <w:szCs w:val="20"/>
          <w:rtl w:val="0"/>
        </w:rPr>
        <w:br w:type="textWrapping"/>
      </w: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Entant que Pasteur ou Surintendant au milieu de la pandémie du COVID-19, vous pouvez être confronté ou ferez face à de multiples cas de décès parmi des membres de votre congrégations et des pasteurs, à cause du virus qui touche les gens indépendamment de l'âge ou de la position social.</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Durant la crise actuelle, la plus part des cérémonies qui auraient pu aider des personnes faisant face au deuil à se rétablir, ne sont plus permises comme auparavant. Il est important de savoir qu'il y a différentes étapes dans le processus de deuil. Ce qui suit décrit certaines de ces étapes.</w:t>
      </w:r>
    </w:p>
    <w:p w:rsidR="00000000" w:rsidDel="00000000" w:rsidP="00000000" w:rsidRDefault="00000000" w:rsidRPr="00000000" w14:paraId="00000006">
      <w:pPr>
        <w:rPr/>
      </w:pPr>
      <w:r w:rsidDel="00000000" w:rsidR="00000000" w:rsidRPr="00000000">
        <w:rPr>
          <w:rtl w:val="0"/>
        </w:rPr>
        <w:br w:type="textWrapping"/>
      </w:r>
    </w:p>
    <w:p w:rsidR="00000000" w:rsidDel="00000000" w:rsidP="00000000" w:rsidRDefault="00000000" w:rsidRPr="00000000" w14:paraId="00000007">
      <w:pPr>
        <w:rPr/>
      </w:pPr>
      <w:r w:rsidDel="00000000" w:rsidR="00000000" w:rsidRPr="00000000">
        <w:rPr>
          <w:rtl w:val="0"/>
        </w:rPr>
        <w:t xml:space="preserve">Les étapes dans le processus du deuil peuvent prendre un seul instant ou durer des mois. La première étape est le déni ou encore, ne pas accepter la perte. Cela est suivie d'autres étapes telles que la colère parfois une colère envers Dieu, en sorte que les personnes Lui reproche la mort. Les pasteurs doivent prendre cela en considération et ne devraient pas réprimander quelqu'un d'être en colère car c'est une part normale de la douleur, mais ils devraient les encourager en ce que Dieu sait ce qui se passe et qu'Il n'est pas en colère contre eux.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Une autre étape est la culpabilité, ici des pensées telles que, "Pourquoi n'ai-je pas pris davantage soin de lui" ou "Pourquoi n'ai pas porter attention aux signes" sont courantes. La culpabilité entrave le processus normal de récupération et affecte négativement l'individu, mais il est normal de ressentir cela et ça passera bientôt. Les pasteurs doivent être sensibles à tous ces sentiments et encourager les personnes en soulignant que ce qu'ils ressentent est normal et que ça passera avec le temps.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Les pasteurs et les dirigeants dont les membres de leur congrégation sont décédés doivent prendre le temps d'exprimer leur solidarité à la famille. Si c'est un membre de la congrégation qui est décédé, il est très important d'appeler la personne par son nom, et de s'en souvenir et l'honorer en tant que membre de l'église. Cela peut se faire par le biais des réseaux sociaux, par exemple, et ça aide les personnes endeuillées dans leur rétablissement. Lorsque vous nommez la personne, commencez par des phrases comme «Nous sommes désolés pour la perte de frère ou sœur» (donnez le nom de la personne). «Nous nous souvenons de lui comme un bon homme ou fidèle femme de Dieu», «que Dieu fortifie son épouse» (mentionnez son nom et le nom de leurs enfants). Cela aidera les membres de la famille à sentir que l'église les soutient dans cette situation.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Si un pasteur est décédé, la présence du surintendant auprès de la famille est très importante. Il doit montrer sa volonté d'aider aux funérailles et d'aider également les membres de la famille. Il peut également avoir un service virtuel honorant le pasteur et mettant en lumière son travail.</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Le surintendant doit reprendre le ministère de l'église dès que possible, en nommant un pasteur intérimaire. Il doit également rencontrer le conseil de l'église, reprendre les projets qui ont été faits et aider le conseil dans leur période deuil; cela donnera à l'église un sentiment de sécurité. Ils doivent toujours être encouragés à aller de l'avant.</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Comité COVID-19, Église du Nazaréen, Méso-Amérique.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sectPr>
      <w:pgSz w:h="15840" w:w="12240"/>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Helvetica Neue"/>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